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" w:after="0"/>
        <w:rPr>
          <w:sz w:val="10"/>
        </w:rPr>
      </w:pPr>
      <w:r>
        <w:rPr>
          <w:sz w:val="10"/>
        </w:rPr>
      </w:r>
    </w:p>
    <w:p>
      <w:pPr>
        <w:pStyle w:val="Nzev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830580</wp:posOffset>
            </wp:positionH>
            <wp:positionV relativeFrom="paragraph">
              <wp:posOffset>-81280</wp:posOffset>
            </wp:positionV>
            <wp:extent cx="1238885" cy="923290"/>
            <wp:effectExtent l="0" t="0" r="0" b="0"/>
            <wp:wrapNone/>
            <wp:docPr id="1" name="image1.png" descr="P1C1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1C1T1#yIS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EU</w:t>
      </w:r>
      <w:r>
        <w:rPr>
          <w:spacing w:val="-1"/>
        </w:rPr>
        <w:t xml:space="preserve"> </w:t>
      </w:r>
      <w:r>
        <w:rPr/>
        <w:t>Prohlášení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shodě</w:t>
      </w:r>
    </w:p>
    <w:p>
      <w:pPr>
        <w:pStyle w:val="Normal"/>
        <w:spacing w:lineRule="auto" w:line="247" w:before="242" w:after="0"/>
        <w:ind w:left="2604" w:right="3990" w:hanging="0"/>
        <w:rPr>
          <w:b/>
          <w:b/>
          <w:i/>
          <w:i/>
          <w:sz w:val="18"/>
        </w:rPr>
      </w:pPr>
      <w:r>
        <w:rPr>
          <w:b/>
          <w:i/>
          <w:sz w:val="18"/>
        </w:rPr>
        <w:t>Podle zákona č. 90/2016 Sb. v platném znění</w:t>
      </w:r>
      <w:r>
        <w:rPr>
          <w:b/>
          <w:i/>
          <w:spacing w:val="-42"/>
          <w:sz w:val="18"/>
        </w:rPr>
        <w:t xml:space="preserve"> </w:t>
      </w:r>
    </w:p>
    <w:p>
      <w:pPr>
        <w:pStyle w:val="Normal"/>
        <w:spacing w:lineRule="auto" w:line="247" w:before="242" w:after="0"/>
        <w:ind w:left="2604" w:right="3990" w:hanging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rPr>
          <w:b/>
          <w:b/>
          <w:i/>
          <w:i/>
          <w:sz w:val="7"/>
        </w:rPr>
      </w:pPr>
      <w:r>
        <w:rPr>
          <w:b/>
          <w:i/>
          <w:sz w:val="7"/>
        </w:rPr>
      </w:r>
    </w:p>
    <w:tbl>
      <w:tblPr>
        <w:tblStyle w:val="TableNormal"/>
        <w:tblW w:w="9539" w:type="dxa"/>
        <w:jc w:val="left"/>
        <w:tblInd w:w="2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3578"/>
        <w:gridCol w:w="5960"/>
      </w:tblGrid>
      <w:tr>
        <w:trPr>
          <w:trHeight w:val="246" w:hRule="atLeast"/>
        </w:trPr>
        <w:tc>
          <w:tcPr>
            <w:tcW w:w="9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4337" w:right="4317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Výrobce</w:t>
            </w:r>
          </w:p>
        </w:tc>
      </w:tr>
      <w:tr>
        <w:trPr>
          <w:trHeight w:val="294" w:hRule="atLeast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48" w:hanging="0"/>
              <w:jc w:val="righ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název: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MOREX, spol. s r.o.</w:t>
            </w:r>
          </w:p>
        </w:tc>
      </w:tr>
      <w:tr>
        <w:trPr>
          <w:trHeight w:val="277" w:hRule="atLeast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0" w:right="48" w:hanging="0"/>
              <w:jc w:val="righ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adresa: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6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Nádražní 481,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Morkovice-Slížany 768 33</w:t>
            </w:r>
          </w:p>
        </w:tc>
      </w:tr>
      <w:tr>
        <w:trPr>
          <w:trHeight w:val="277" w:hRule="atLeast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E4E4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52" w:hanging="0"/>
              <w:jc w:val="righ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IČO: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48533157</w:t>
            </w:r>
          </w:p>
        </w:tc>
      </w:tr>
    </w:tbl>
    <w:p>
      <w:pPr>
        <w:pStyle w:val="Tlotextu"/>
        <w:spacing w:before="14" w:after="0"/>
        <w:rPr/>
      </w:pPr>
      <w:r>
        <w:rPr/>
        <w:t>Prohlašuji</w:t>
      </w:r>
      <w:r>
        <w:rPr>
          <w:spacing w:val="-5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svou</w:t>
      </w:r>
      <w:r>
        <w:rPr>
          <w:spacing w:val="-3"/>
        </w:rPr>
        <w:t xml:space="preserve"> </w:t>
      </w:r>
      <w:r>
        <w:rPr/>
        <w:t>výlučnou</w:t>
      </w:r>
      <w:r>
        <w:rPr>
          <w:spacing w:val="-4"/>
        </w:rPr>
        <w:t xml:space="preserve"> </w:t>
      </w:r>
      <w:r>
        <w:rPr/>
        <w:t>odpovědnost,</w:t>
      </w:r>
      <w:r>
        <w:rPr>
          <w:spacing w:val="-4"/>
        </w:rPr>
        <w:t xml:space="preserve"> </w:t>
      </w:r>
      <w:r>
        <w:rPr/>
        <w:t>že</w:t>
      </w:r>
      <w:r>
        <w:rPr>
          <w:spacing w:val="-4"/>
        </w:rPr>
        <w:t xml:space="preserve"> </w:t>
      </w:r>
      <w:r>
        <w:rPr/>
        <w:t>níže</w:t>
      </w:r>
      <w:r>
        <w:rPr>
          <w:spacing w:val="-3"/>
        </w:rPr>
        <w:t xml:space="preserve"> </w:t>
      </w:r>
      <w:r>
        <w:rPr/>
        <w:t>uvedené</w:t>
      </w:r>
      <w:r>
        <w:rPr>
          <w:spacing w:val="-5"/>
        </w:rPr>
        <w:t xml:space="preserve"> </w:t>
      </w:r>
      <w:r>
        <w:rPr/>
        <w:t>zařízení:</w:t>
      </w:r>
    </w:p>
    <w:tbl>
      <w:tblPr>
        <w:tblStyle w:val="TableNormal"/>
        <w:tblW w:w="9560" w:type="dxa"/>
        <w:jc w:val="left"/>
        <w:tblInd w:w="2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085"/>
        <w:gridCol w:w="7474"/>
      </w:tblGrid>
      <w:tr>
        <w:trPr>
          <w:trHeight w:val="265" w:hRule="atLeast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990" w:right="2971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Elektrické</w:t>
            </w:r>
            <w:r>
              <w:rPr>
                <w:rFonts w:ascii="Arial" w:hAnsi="Arial"/>
                <w:b/>
                <w:i/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zařízení</w:t>
            </w:r>
          </w:p>
        </w:tc>
      </w:tr>
      <w:tr>
        <w:trPr>
          <w:trHeight w:val="323" w:hRule="atLeast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40" w:after="0"/>
              <w:ind w:left="71" w:hanging="0"/>
              <w:jc w:val="lef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-</w:t>
            </w:r>
            <w:r>
              <w:rPr>
                <w:rFonts w:ascii="Arial" w:hAnsi="Arial"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název: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34" w:after="0"/>
              <w:ind w:left="6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16"/>
                <w:szCs w:val="22"/>
                <w:lang w:eastAsia="en-US" w:bidi="ar-SA"/>
              </w:rPr>
              <w:t>Dome</w:t>
            </w:r>
            <w:r>
              <w:rPr>
                <w:rFonts w:ascii="Arial" w:hAnsi="Arial"/>
                <w:sz w:val="16"/>
              </w:rPr>
              <w:t>ček s LED osvětlením K1986</w:t>
            </w:r>
          </w:p>
        </w:tc>
      </w:tr>
      <w:tr>
        <w:trPr>
          <w:trHeight w:val="309" w:hRule="atLeast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33" w:after="0"/>
              <w:ind w:left="71" w:hanging="0"/>
              <w:jc w:val="left"/>
              <w:rPr>
                <w:rFonts w:ascii="Arial" w:hAnsi="Arial"/>
                <w:i/>
                <w:i/>
                <w:sz w:val="21"/>
              </w:rPr>
            </w:pP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-</w:t>
            </w:r>
            <w:r>
              <w:rPr>
                <w:rFonts w:ascii="Arial" w:hAnsi="Arial"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1"/>
                <w:szCs w:val="22"/>
                <w:lang w:eastAsia="en-US" w:bidi="ar-SA"/>
              </w:rPr>
              <w:t>typ: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7" w:after="0"/>
              <w:ind w:left="6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18"/>
                <w:szCs w:val="22"/>
                <w:lang w:eastAsia="en-US" w:bidi="ar-SA"/>
              </w:rPr>
              <w:t>K1986</w:t>
            </w:r>
          </w:p>
        </w:tc>
      </w:tr>
      <w:tr>
        <w:trPr>
          <w:trHeight w:val="433" w:hRule="atLeast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993" w:right="2971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Popis</w:t>
            </w:r>
            <w:r>
              <w:rPr>
                <w:rFonts w:ascii="Arial" w:hAnsi="Arial"/>
                <w:b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b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určení</w:t>
            </w:r>
            <w:r>
              <w:rPr>
                <w:rFonts w:ascii="Arial" w:hAnsi="Arial"/>
                <w:b/>
                <w:i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elektrického</w:t>
            </w:r>
            <w:r>
              <w:rPr>
                <w:rFonts w:ascii="Arial" w:hAnsi="Arial"/>
                <w:b/>
                <w:i/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21"/>
                <w:szCs w:val="22"/>
                <w:lang w:eastAsia="en-US" w:bidi="ar-SA"/>
              </w:rPr>
              <w:t>zařízení</w:t>
            </w:r>
          </w:p>
        </w:tc>
      </w:tr>
      <w:tr>
        <w:trPr>
          <w:trHeight w:val="253" w:hRule="atLeast"/>
        </w:trPr>
        <w:tc>
          <w:tcPr>
            <w:tcW w:w="9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eastAsia="en-US" w:bidi="ar-SA"/>
              </w:rPr>
              <w:t>Dekorace d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olor w:val="000000"/>
                <w:kern w:val="0"/>
                <w:sz w:val="20"/>
                <w:szCs w:val="20"/>
                <w:lang w:eastAsia="en-US" w:bidi="ar-SA"/>
              </w:rPr>
              <w:t>meček s LED osvětlením, 2x baterie 1,5V LR44 DC je součástí balení.</w:t>
            </w:r>
          </w:p>
        </w:tc>
      </w:tr>
    </w:tbl>
    <w:p>
      <w:pPr>
        <w:pStyle w:val="Tlotextu"/>
        <w:rPr/>
      </w:pPr>
      <w:r>
        <w:rPr/>
        <w:t>Je</w:t>
      </w:r>
      <w:r>
        <w:rPr>
          <w:spacing w:val="-4"/>
        </w:rPr>
        <w:t xml:space="preserve"> </w:t>
      </w:r>
      <w:r>
        <w:rPr/>
        <w:t>ve</w:t>
      </w:r>
      <w:r>
        <w:rPr>
          <w:spacing w:val="-4"/>
        </w:rPr>
        <w:t xml:space="preserve"> </w:t>
      </w:r>
      <w:r>
        <w:rPr/>
        <w:t>shodě</w:t>
      </w:r>
      <w:r>
        <w:rPr>
          <w:spacing w:val="-2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následující</w:t>
      </w:r>
      <w:r>
        <w:rPr>
          <w:spacing w:val="-1"/>
        </w:rPr>
        <w:t xml:space="preserve"> </w:t>
      </w:r>
      <w:r>
        <w:rPr/>
        <w:t>normami:</w:t>
      </w:r>
    </w:p>
    <w:tbl>
      <w:tblPr>
        <w:tblStyle w:val="TableNormal"/>
        <w:tblW w:w="9469" w:type="dxa"/>
        <w:jc w:val="left"/>
        <w:tblInd w:w="2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05"/>
        <w:gridCol w:w="4863"/>
      </w:tblGrid>
      <w:tr>
        <w:trPr>
          <w:trHeight w:val="242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center" w:pos="2302" w:leader="none"/>
                <w:tab w:val="left" w:pos="3505" w:leader="none"/>
              </w:tabs>
              <w:suppressAutoHyphens w:val="true"/>
              <w:spacing w:lineRule="exact" w:line="222" w:before="0" w:after="0"/>
              <w:ind w:left="1623" w:right="1615" w:hanging="0"/>
              <w:jc w:val="left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ab/>
              <w:t>České</w:t>
            </w:r>
            <w:r>
              <w:rPr>
                <w:rFonts w:ascii="Arial" w:hAnsi="Arial"/>
                <w:b/>
                <w:i/>
                <w:spacing w:val="-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normy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22" w:before="0" w:after="0"/>
              <w:ind w:left="1609" w:hanging="0"/>
              <w:jc w:val="left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Evropské</w:t>
            </w:r>
            <w:r>
              <w:rPr>
                <w:rFonts w:ascii="Arial" w:hAnsi="Arial"/>
                <w:b/>
                <w:i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normy</w:t>
            </w:r>
          </w:p>
        </w:tc>
      </w:tr>
      <w:tr>
        <w:trPr>
          <w:trHeight w:val="3623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7" w:right="147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EN IEC 55015:2019 vč. změn</w:t>
            </w:r>
            <w:r>
              <w:rPr>
                <w:spacing w:val="-5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ČSN EN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61547: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2009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62321-8: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IEC 62321-3-1: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62321-5: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7" w:right="331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62321-4: 2013+AMD1: 2017 vč. změn</w:t>
            </w:r>
            <w:r>
              <w:rPr>
                <w:spacing w:val="-5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ČSN IEC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62321-7-2: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IEC 62321-7-1: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62321-6: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 IEC 62321-1: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změn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 62321-2: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6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ČSN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AfPS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GS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2019:01 PAK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vč. změn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9" w:right="1463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EN IEC 55015:2019 incl. amendments</w:t>
            </w:r>
            <w:r>
              <w:rPr>
                <w:spacing w:val="-5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EN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61547: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 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62321-8: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62321-3-1: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62321-5: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62321-4: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2013+AMD1: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62321-7-2: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62321-7-1: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62321-6: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2015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ISO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17075: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09" w:right="1215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IEC</w:t>
            </w:r>
            <w:r>
              <w:rPr>
                <w:spacing w:val="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62321-1:</w:t>
            </w:r>
            <w:r>
              <w:rPr>
                <w:spacing w:val="8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2013</w:t>
            </w:r>
            <w:r>
              <w:rPr>
                <w:spacing w:val="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IEC 62321-2: 2013incl. amendments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AfPS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GS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2019:01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PAK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incl.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</w:p>
        </w:tc>
      </w:tr>
    </w:tbl>
    <w:p>
      <w:pPr>
        <w:pStyle w:val="Tlotextu"/>
        <w:rPr/>
      </w:pPr>
      <w:r>
        <w:rPr/>
        <w:t>a</w:t>
      </w:r>
      <w:r>
        <w:rPr>
          <w:spacing w:val="-5"/>
        </w:rPr>
        <w:t xml:space="preserve"> </w:t>
      </w:r>
      <w:r>
        <w:rPr/>
        <w:t>následujícími</w:t>
      </w:r>
      <w:r>
        <w:rPr>
          <w:spacing w:val="-3"/>
        </w:rPr>
        <w:t xml:space="preserve"> </w:t>
      </w:r>
      <w:r>
        <w:rPr/>
        <w:t>nařízeními</w:t>
      </w:r>
      <w:r>
        <w:rPr>
          <w:spacing w:val="-4"/>
        </w:rPr>
        <w:t xml:space="preserve"> </w:t>
      </w:r>
      <w:r>
        <w:rPr/>
        <w:t>vlády,</w:t>
      </w:r>
      <w:r>
        <w:rPr>
          <w:spacing w:val="-5"/>
        </w:rPr>
        <w:t xml:space="preserve"> </w:t>
      </w:r>
      <w:r>
        <w:rPr/>
        <w:t>ve</w:t>
      </w:r>
      <w:r>
        <w:rPr>
          <w:spacing w:val="-3"/>
        </w:rPr>
        <w:t xml:space="preserve"> </w:t>
      </w:r>
      <w:r>
        <w:rPr/>
        <w:t>znění</w:t>
      </w:r>
      <w:r>
        <w:rPr>
          <w:spacing w:val="-4"/>
        </w:rPr>
        <w:t xml:space="preserve"> </w:t>
      </w:r>
      <w:r>
        <w:rPr/>
        <w:t>pozdějších</w:t>
      </w:r>
      <w:r>
        <w:rPr>
          <w:spacing w:val="-4"/>
        </w:rPr>
        <w:t xml:space="preserve"> </w:t>
      </w:r>
      <w:r>
        <w:rPr/>
        <w:t>předpisů</w:t>
      </w:r>
      <w:r>
        <w:rPr>
          <w:spacing w:val="-3"/>
        </w:rPr>
        <w:t xml:space="preserve"> </w:t>
      </w:r>
      <w:r>
        <w:rPr/>
        <w:t>(NV)</w:t>
      </w:r>
      <w:r>
        <w:rPr>
          <w:spacing w:val="-4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číslo</w:t>
      </w:r>
      <w:r>
        <w:rPr>
          <w:spacing w:val="-2"/>
        </w:rPr>
        <w:t xml:space="preserve"> </w:t>
      </w:r>
      <w:r>
        <w:rPr/>
        <w:t>EU</w:t>
      </w:r>
      <w:r>
        <w:rPr>
          <w:spacing w:val="-4"/>
        </w:rPr>
        <w:t xml:space="preserve"> </w:t>
      </w:r>
      <w:r>
        <w:rPr/>
        <w:t>směrnice:</w:t>
      </w:r>
    </w:p>
    <w:tbl>
      <w:tblPr>
        <w:tblStyle w:val="TableNormal"/>
        <w:tblW w:w="9469" w:type="dxa"/>
        <w:jc w:val="left"/>
        <w:tblInd w:w="2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05"/>
        <w:gridCol w:w="4863"/>
      </w:tblGrid>
      <w:tr>
        <w:trPr>
          <w:trHeight w:val="482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2" w:before="0" w:after="0"/>
              <w:ind w:left="107" w:right="147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NV 117/2016 Sb. v platném znění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NV 481/2012</w:t>
            </w:r>
            <w:r>
              <w:rPr>
                <w:spacing w:val="1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Sb. v</w:t>
            </w:r>
            <w:r>
              <w:rPr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platném</w:t>
            </w:r>
            <w:r>
              <w:rPr>
                <w:spacing w:val="-4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znění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2" w:before="0" w:after="0"/>
              <w:ind w:left="109" w:right="884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2014/30/EU – including amendments (EMC)</w:t>
            </w:r>
            <w:r>
              <w:rPr>
                <w:spacing w:val="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2011/65/EU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including</w:t>
            </w:r>
            <w:r>
              <w:rPr>
                <w:spacing w:val="-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amendments</w:t>
            </w:r>
            <w:r>
              <w:rPr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1"/>
                <w:szCs w:val="22"/>
                <w:lang w:eastAsia="en-US" w:bidi="ar-SA"/>
              </w:rPr>
              <w:t>(RoHS)</w:t>
            </w:r>
          </w:p>
        </w:tc>
      </w:tr>
    </w:tbl>
    <w:p>
      <w:pPr>
        <w:pStyle w:val="Tlotextu"/>
        <w:spacing w:before="10" w:after="0"/>
        <w:ind w:left="0" w:hanging="0"/>
        <w:rPr>
          <w:sz w:val="19"/>
        </w:rPr>
      </w:pPr>
      <w:r>
        <w:rPr>
          <w:sz w:val="19"/>
        </w:rPr>
      </w:r>
    </w:p>
    <w:tbl>
      <w:tblPr>
        <w:tblStyle w:val="TableNormal"/>
        <w:tblW w:w="9560" w:type="dxa"/>
        <w:jc w:val="left"/>
        <w:tblInd w:w="22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560"/>
      </w:tblGrid>
      <w:tr>
        <w:trPr>
          <w:trHeight w:val="265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46" w:right="3024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Testovací</w:t>
            </w:r>
            <w:r>
              <w:rPr>
                <w:rFonts w:ascii="Arial" w:hAnsi="Arial"/>
                <w:b/>
                <w:i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laboratoř</w:t>
            </w:r>
          </w:p>
        </w:tc>
      </w:tr>
      <w:tr>
        <w:trPr>
          <w:trHeight w:val="1103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Vchozstylkresby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i w:val="false"/>
                <w:color w:val="000000"/>
                <w:kern w:val="0"/>
                <w:sz w:val="16"/>
                <w:szCs w:val="16"/>
                <w:lang w:eastAsia="en-US" w:bidi="ar-SA"/>
              </w:rPr>
              <w:t>Shenzhen Toby Laboratories Inc.</w:t>
            </w:r>
          </w:p>
          <w:p>
            <w:pPr>
              <w:pStyle w:val="Vchozstylkresby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i w:val="false"/>
                <w:color w:val="000000"/>
                <w:kern w:val="0"/>
                <w:sz w:val="16"/>
                <w:szCs w:val="16"/>
                <w:lang w:eastAsia="en-US" w:bidi="ar-SA"/>
              </w:rPr>
              <w:t>Rm.307-309, 311, Bldg.2, Huahan Sci-tech Industrial Park, No.19 Lanjin 4th Road, Heping</w:t>
            </w:r>
          </w:p>
          <w:p>
            <w:pPr>
              <w:pStyle w:val="Vchozstylkresby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i w:val="false"/>
                <w:color w:val="000000"/>
                <w:kern w:val="0"/>
                <w:sz w:val="16"/>
                <w:szCs w:val="16"/>
                <w:lang w:eastAsia="en-US" w:bidi="ar-SA"/>
              </w:rPr>
              <w:t>Community, Pingshan St., Pingshan District, Shenzhen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sz w:val="24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sz w:val="24"/>
              </w:rPr>
            </w:pPr>
            <w:r>
              <w:rPr>
                <w:rFonts w:ascii="ArialMT" w:hAnsi="ArialMT"/>
                <w:b/>
                <w:i w:val="false"/>
                <w:color w:val="000000"/>
                <w:kern w:val="0"/>
                <w:sz w:val="18"/>
                <w:szCs w:val="16"/>
                <w:lang w:eastAsia="en-US" w:bidi="ar-SA"/>
              </w:rPr>
              <w:t>Dongguan ZRLK Testing Technology Co., Ltd.</w:t>
            </w:r>
          </w:p>
          <w:p>
            <w:pPr>
              <w:pStyle w:val="Normal"/>
              <w:widowControl w:val="false"/>
              <w:jc w:val="left"/>
              <w:rPr>
                <w:sz w:val="24"/>
              </w:rPr>
            </w:pPr>
            <w:r>
              <w:rPr>
                <w:rFonts w:ascii="ArialMT" w:hAnsi="ArialMT"/>
                <w:sz w:val="18"/>
              </w:rPr>
              <w:t xml:space="preserve"> </w:t>
            </w:r>
            <w:r>
              <w:rPr>
                <w:rFonts w:ascii="ArialMT" w:hAnsi="ArialMT"/>
                <w:sz w:val="18"/>
              </w:rPr>
              <w:t>Building D, No.2, Jinyuyuan Mansion, No.18, Industrial West Road, Songshan Lake High-tech Industrial Development   Zone,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34" w:before="0" w:after="0"/>
              <w:ind w:left="71" w:hanging="0"/>
              <w:jc w:val="left"/>
              <w:rPr>
                <w:sz w:val="24"/>
              </w:rPr>
            </w:pPr>
            <w:r>
              <w:rPr>
                <w:rFonts w:ascii="ArialMT" w:hAnsi="ArialMT"/>
                <w:sz w:val="18"/>
                <w:szCs w:val="16"/>
              </w:rPr>
              <w:t>Dongguan, Guangdong, China.</w:t>
            </w:r>
          </w:p>
        </w:tc>
      </w:tr>
      <w:tr>
        <w:trPr>
          <w:trHeight w:val="264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40" w:before="0" w:after="0"/>
              <w:ind w:left="3044" w:right="3025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Číslo</w:t>
            </w:r>
            <w:r>
              <w:rPr>
                <w:rFonts w:ascii="Arial" w:hAnsi="Arial"/>
                <w:b/>
                <w:i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test</w:t>
            </w:r>
            <w:r>
              <w:rPr>
                <w:rFonts w:ascii="Arial" w:hAnsi="Arial"/>
                <w:b/>
                <w:i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reportu</w:t>
            </w:r>
          </w:p>
        </w:tc>
      </w:tr>
      <w:tr>
        <w:trPr>
          <w:trHeight w:val="263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CIDFont+F2" w:hAnsi="CIDFont+F2"/>
                <w:sz w:val="24"/>
              </w:rPr>
            </w:pPr>
            <w:r>
              <w:rPr>
                <w:rFonts w:ascii="Arial" w:hAnsi="Arial"/>
                <w:b/>
                <w:i w:val="false"/>
                <w:color w:val="000000"/>
                <w:kern w:val="0"/>
                <w:sz w:val="22"/>
                <w:szCs w:val="22"/>
                <w:lang w:eastAsia="en-US" w:bidi="ar-SA"/>
              </w:rPr>
              <w:t xml:space="preserve">TBR-C-202204-0091-2,  </w:t>
            </w:r>
            <w:r>
              <w:rPr>
                <w:rFonts w:ascii="ArialMT" w:hAnsi="ArialMT"/>
                <w:b/>
                <w:i w:val="false"/>
                <w:color w:val="000000"/>
                <w:kern w:val="0"/>
                <w:sz w:val="20"/>
                <w:szCs w:val="22"/>
                <w:lang w:eastAsia="en-US" w:bidi="ar-SA"/>
              </w:rPr>
              <w:t>ZKS200200338-1</w:t>
            </w:r>
          </w:p>
          <w:p>
            <w:pPr>
              <w:pStyle w:val="Normal"/>
              <w:widowControl w:val="false"/>
              <w:jc w:val="left"/>
              <w:rPr>
                <w:rFonts w:ascii="CIDFont+F2" w:hAnsi="CIDFont+F2"/>
                <w:sz w:val="24"/>
              </w:rPr>
            </w:pPr>
            <w:r>
              <w:rPr>
                <w:rFonts w:ascii="CIDFont+F2" w:hAnsi="CIDFont+F2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43" w:before="0" w:after="0"/>
              <w:ind w:left="71" w:hanging="0"/>
              <w:jc w:val="left"/>
              <w:rPr>
                <w:rFonts w:ascii="CIDFont+F2" w:hAnsi="CIDFont+F2"/>
                <w:sz w:val="24"/>
              </w:rPr>
            </w:pPr>
            <w:r>
              <w:rPr>
                <w:rFonts w:ascii="CIDFont+F2" w:hAnsi="CIDFont+F2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46" w:right="3025" w:hanging="0"/>
              <w:jc w:val="center"/>
              <w:rPr>
                <w:rFonts w:ascii="Arial" w:hAnsi="Arial"/>
                <w:b/>
                <w:b/>
                <w:i/>
                <w:i/>
                <w:sz w:val="21"/>
              </w:rPr>
            </w:pP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Zvolený</w:t>
            </w:r>
            <w:r>
              <w:rPr>
                <w:rFonts w:ascii="Arial" w:hAnsi="Arial"/>
                <w:b/>
                <w:i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postup</w:t>
            </w:r>
            <w:r>
              <w:rPr>
                <w:rFonts w:ascii="Arial" w:hAnsi="Arial"/>
                <w:b/>
                <w:i/>
                <w:spacing w:val="-3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posuzování</w:t>
            </w:r>
            <w:r>
              <w:rPr>
                <w:rFonts w:ascii="Arial" w:hAnsi="Arial"/>
                <w:b/>
                <w:i/>
                <w:spacing w:val="-2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i/>
                <w:kern w:val="0"/>
                <w:sz w:val="18"/>
                <w:szCs w:val="18"/>
                <w:lang w:eastAsia="en-US" w:bidi="ar-SA"/>
              </w:rPr>
              <w:t>shody</w:t>
            </w:r>
          </w:p>
        </w:tc>
      </w:tr>
      <w:tr>
        <w:trPr>
          <w:trHeight w:val="486" w:hRule="atLeast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Posouzení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shody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za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stanovených podmínek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dovozcem: §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4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§ 50</w:t>
            </w:r>
            <w:r>
              <w:rPr>
                <w:i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odst.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5 zákona</w:t>
            </w:r>
            <w:r>
              <w:rPr>
                <w:i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č.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90/2016</w:t>
            </w:r>
            <w:r>
              <w:rPr>
                <w:i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eastAsia="en-US" w:bidi="ar-SA"/>
              </w:rPr>
              <w:t>Sb.</w:t>
            </w:r>
          </w:p>
        </w:tc>
      </w:tr>
    </w:tbl>
    <w:p>
      <w:pPr>
        <w:pStyle w:val="Tlotextu"/>
        <w:rPr/>
      </w:pPr>
      <w:r>
        <w:rPr/>
        <w:t>Poslední</w:t>
      </w:r>
      <w:r>
        <w:rPr>
          <w:spacing w:val="-5"/>
        </w:rPr>
        <w:t xml:space="preserve"> </w:t>
      </w:r>
      <w:r>
        <w:rPr/>
        <w:t>dvojčíslí</w:t>
      </w:r>
      <w:r>
        <w:rPr>
          <w:spacing w:val="-2"/>
        </w:rPr>
        <w:t xml:space="preserve"> </w:t>
      </w:r>
      <w:r>
        <w:rPr/>
        <w:t>roku,</w:t>
      </w:r>
      <w:r>
        <w:rPr>
          <w:spacing w:val="-4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němž</w:t>
      </w:r>
      <w:r>
        <w:rPr>
          <w:spacing w:val="-3"/>
        </w:rPr>
        <w:t xml:space="preserve"> </w:t>
      </w:r>
      <w:r>
        <w:rPr/>
        <w:t>bylo</w:t>
      </w:r>
      <w:r>
        <w:rPr>
          <w:spacing w:val="-3"/>
        </w:rPr>
        <w:t xml:space="preserve"> </w:t>
      </w:r>
      <w:r>
        <w:rPr/>
        <w:t>označení</w:t>
      </w:r>
      <w:r>
        <w:rPr>
          <w:spacing w:val="-3"/>
        </w:rPr>
        <w:t xml:space="preserve"> </w:t>
      </w:r>
      <w:r>
        <w:rPr/>
        <w:t>CE</w:t>
      </w:r>
      <w:r>
        <w:rPr>
          <w:spacing w:val="-5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výrobek</w:t>
      </w:r>
      <w:r>
        <w:rPr>
          <w:spacing w:val="-4"/>
        </w:rPr>
        <w:t xml:space="preserve"> </w:t>
      </w:r>
      <w:r>
        <w:rPr/>
        <w:t>umístěno:22</w:t>
      </w:r>
    </w:p>
    <w:tbl>
      <w:tblPr>
        <w:tblStyle w:val="TableNormal"/>
        <w:tblW w:w="9642" w:type="dxa"/>
        <w:jc w:val="left"/>
        <w:tblInd w:w="12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410"/>
        <w:gridCol w:w="2551"/>
        <w:gridCol w:w="2270"/>
        <w:gridCol w:w="2410"/>
      </w:tblGrid>
      <w:tr>
        <w:trPr>
          <w:trHeight w:val="956" w:hRule="atLeast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9" w:right="783" w:firstLine="55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v Morkovicích</w:t>
            </w:r>
            <w:r>
              <w:rPr>
                <w:rFonts w:ascii="Arial" w:hAnsi="Arial"/>
                <w:i/>
                <w:spacing w:val="-54"/>
                <w:kern w:val="0"/>
                <w:sz w:val="20"/>
                <w:szCs w:val="22"/>
                <w:lang w:eastAsia="en-US" w:bidi="ar-SA"/>
              </w:rPr>
              <w:t xml:space="preserve"> 22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.11.2022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71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Jméno: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Jaroslav Heinz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0" w:right="1459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kern w:val="0"/>
                <w:sz w:val="20"/>
                <w:szCs w:val="22"/>
                <w:lang w:eastAsia="en-US" w:bidi="ar-SA"/>
              </w:rPr>
              <w:t>Funkce:</w:t>
            </w:r>
            <w:r>
              <w:rPr>
                <w:rFonts w:ascii="Arial" w:hAnsi="Arial"/>
                <w:i/>
                <w:spacing w:val="-5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jednatel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69" w:hanging="0"/>
              <w:jc w:val="left"/>
              <w:rPr>
                <w:rFonts w:ascii="Arial" w:hAnsi="Arial"/>
                <w:i/>
                <w:i/>
                <w:sz w:val="20"/>
              </w:rPr>
            </w:pPr>
            <w:r>
              <w:rPr>
                <w:rFonts w:ascii="Arial" w:hAnsi="Arial"/>
                <w:i/>
                <w:kern w:val="0"/>
                <w:sz w:val="20"/>
                <w:szCs w:val="22"/>
                <w:lang w:eastAsia="en-US" w:bidi="ar-SA"/>
              </w:rPr>
              <w:t>Podpis: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92" w:hanging="0"/>
              <w:jc w:val="left"/>
              <w:rPr>
                <w:rFonts w:ascii="Arial" w:hAnsi="Arial"/>
                <w:sz w:val="20"/>
              </w:rPr>
            </w:pPr>
            <w:r>
              <w:rPr/>
              <w:drawing>
                <wp:inline distT="0" distB="0" distL="0" distR="0">
                  <wp:extent cx="954405" cy="495935"/>
                  <wp:effectExtent l="0" t="0" r="0" b="0"/>
                  <wp:docPr id="2" name="Obrázek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0" w:right="98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Noto Sans">
    <w:charset w:val="ee"/>
    <w:family w:val="roman"/>
    <w:pitch w:val="variable"/>
  </w:font>
  <w:font w:name="Lucida Sans">
    <w:charset w:val="ee"/>
    <w:family w:val="roman"/>
    <w:pitch w:val="variable"/>
  </w:font>
  <w:font w:name="ArialMT">
    <w:charset w:val="ee"/>
    <w:family w:val="roman"/>
    <w:pitch w:val="variable"/>
  </w:font>
  <w:font w:name="CIDFont+F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>
      <w:ind w:left="395" w:hanging="0"/>
    </w:pPr>
    <w:rPr>
      <w:rFonts w:ascii="Arial" w:hAnsi="Arial" w:eastAsia="Arial" w:cs="Arial"/>
      <w:b/>
      <w:bCs/>
      <w:i/>
      <w:iCs/>
      <w:sz w:val="20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0"/>
    <w:qFormat/>
    <w:pPr>
      <w:spacing w:before="81" w:after="0"/>
      <w:ind w:left="3105" w:hanging="0"/>
    </w:pPr>
    <w:rPr>
      <w:rFonts w:ascii="Arial" w:hAnsi="Arial" w:eastAsia="Arial" w:cs="Arial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1"/>
      <w:ind w:left="109" w:hanging="0"/>
    </w:pPr>
    <w:rPr/>
  </w:style>
  <w:style w:type="paragraph" w:styleId="Vchozstylkresby">
    <w:name w:val="Výchozí styl kresb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0"/>
      <w:sz w:val="24"/>
      <w:szCs w:val="24"/>
      <w:lang w:val="en-US" w:eastAsia="en-US" w:bidi="ar-SA"/>
    </w:rPr>
  </w:style>
  <w:style w:type="paragraph" w:styleId="Objektbezvpln">
    <w:name w:val="Objekt bez výplně"/>
    <w:basedOn w:val="Vchozstylkresby"/>
    <w:qFormat/>
    <w:pPr/>
    <w:rPr/>
  </w:style>
  <w:style w:type="paragraph" w:styleId="Objektbezvplnaobrysu">
    <w:name w:val="Objekt bez výplně a obrysu"/>
    <w:basedOn w:val="Vchozstylkresby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Popisek"/>
    <w:qFormat/>
    <w:pPr/>
    <w:rPr/>
  </w:style>
  <w:style w:type="paragraph" w:styleId="TitulekA4">
    <w:name w:val="Titulek A4"/>
    <w:basedOn w:val="A4"/>
    <w:qFormat/>
    <w:pPr/>
    <w:rPr>
      <w:rFonts w:ascii="Noto Sans" w:hAnsi="Noto Sans"/>
      <w:sz w:val="87"/>
    </w:rPr>
  </w:style>
  <w:style w:type="paragraph" w:styleId="NadpisA4">
    <w:name w:val="Nadpis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ulekA0">
    <w:name w:val="Titulek A0"/>
    <w:basedOn w:val="A0"/>
    <w:qFormat/>
    <w:pPr/>
    <w:rPr>
      <w:rFonts w:ascii="Noto Sans" w:hAnsi="Noto Sans"/>
      <w:sz w:val="191"/>
    </w:rPr>
  </w:style>
  <w:style w:type="paragraph" w:styleId="NadpisA0">
    <w:name w:val="Nadpis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Tvary">
    <w:name w:val="Tvary"/>
    <w:basedOn w:val="Obrzek"/>
    <w:qFormat/>
    <w:pPr/>
    <w:rPr>
      <w:rFonts w:ascii="Liberation Sans" w:hAnsi="Liberation Sans"/>
      <w:b/>
      <w:sz w:val="28"/>
    </w:rPr>
  </w:style>
  <w:style w:type="paragraph" w:styleId="Obrzek">
    <w:name w:val="Obrázek"/>
    <w:basedOn w:val="Popisek"/>
    <w:qFormat/>
    <w:pPr/>
    <w:rPr/>
  </w:style>
  <w:style w:type="paragraph" w:styleId="Svpln">
    <w:name w:val="S výplní"/>
    <w:basedOn w:val="Tvary"/>
    <w:qFormat/>
    <w:pPr/>
    <w:rPr>
      <w:rFonts w:ascii="Liberation Sans" w:hAnsi="Liberation Sans"/>
      <w:b/>
      <w:sz w:val="28"/>
    </w:rPr>
  </w:style>
  <w:style w:type="paragraph" w:styleId="Modrvpl">
    <w:name w:val="Modr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Zelenvpl">
    <w:name w:val="Zel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Ervenvpl">
    <w:name w:val="Červ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Lutvpl">
    <w:name w:val="Žlut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Sobrysem">
    <w:name w:val="S obrysem"/>
    <w:basedOn w:val="Tvary"/>
    <w:qFormat/>
    <w:pPr/>
    <w:rPr>
      <w:rFonts w:ascii="Liberation Sans" w:hAnsi="Liberation Sans"/>
      <w:b/>
      <w:sz w:val="28"/>
    </w:rPr>
  </w:style>
  <w:style w:type="paragraph" w:styleId="Modrobrys">
    <w:name w:val="Modrý obrys"/>
    <w:basedOn w:val="Sobrysem"/>
    <w:qFormat/>
    <w:pPr/>
    <w:rPr>
      <w:rFonts w:ascii="Liberation Sans" w:hAnsi="Liberation Sans"/>
      <w:b/>
      <w:color w:val="355269"/>
      <w:sz w:val="28"/>
    </w:rPr>
  </w:style>
  <w:style w:type="paragraph" w:styleId="Zelenobrys">
    <w:name w:val="Zelený obrys"/>
    <w:basedOn w:val="Sobrysem"/>
    <w:qFormat/>
    <w:pPr/>
    <w:rPr>
      <w:rFonts w:ascii="Liberation Sans" w:hAnsi="Liberation Sans"/>
      <w:b/>
      <w:color w:val="127622"/>
      <w:sz w:val="28"/>
    </w:rPr>
  </w:style>
  <w:style w:type="paragraph" w:styleId="Ervenobrys">
    <w:name w:val="Červený obrys"/>
    <w:basedOn w:val="Sobrysem"/>
    <w:qFormat/>
    <w:pPr/>
    <w:rPr>
      <w:rFonts w:ascii="Liberation Sans" w:hAnsi="Liberation Sans"/>
      <w:b/>
      <w:color w:val="C9211E"/>
      <w:sz w:val="28"/>
    </w:rPr>
  </w:style>
  <w:style w:type="paragraph" w:styleId="Lutobrys">
    <w:name w:val="Žlutý obrys"/>
    <w:basedOn w:val="Sobrysem"/>
    <w:qFormat/>
    <w:pPr/>
    <w:rPr>
      <w:rFonts w:ascii="Liberation Sans" w:hAnsi="Liberation Sans"/>
      <w:b/>
      <w:color w:val="B47804"/>
      <w:sz w:val="28"/>
    </w:rPr>
  </w:style>
  <w:style w:type="paragraph" w:styleId="Ry">
    <w:name w:val="Čáry"/>
    <w:basedOn w:val="Obrzek"/>
    <w:qFormat/>
    <w:pPr/>
    <w:rPr>
      <w:rFonts w:ascii="Liberation Sans" w:hAnsi="Liberation Sans"/>
      <w:sz w:val="36"/>
    </w:rPr>
  </w:style>
  <w:style w:type="paragraph" w:styleId="Raseipkou">
    <w:name w:val="Čára se šipkou"/>
    <w:basedOn w:val="Ry"/>
    <w:qFormat/>
    <w:pPr/>
    <w:rPr>
      <w:rFonts w:ascii="Liberation Sans" w:hAnsi="Liberation Sans"/>
      <w:sz w:val="36"/>
    </w:rPr>
  </w:style>
  <w:style w:type="paragraph" w:styleId="Rkovanra">
    <w:name w:val="Čárkovaná čára"/>
    <w:basedOn w:val="Ry"/>
    <w:qFormat/>
    <w:pPr/>
    <w:rPr>
      <w:rFonts w:ascii="Liberation Sans" w:hAnsi="Liberation Sans"/>
      <w:sz w:val="36"/>
    </w:rPr>
  </w:style>
  <w:style w:type="paragraph" w:styleId="Masterpage3LTGliederung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en-US" w:eastAsia="en-US" w:bidi="ar-SA"/>
    </w:rPr>
  </w:style>
  <w:style w:type="paragraph" w:styleId="Masterpage3LTUntertitel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Masterpage3LTNotizen">
    <w:name w:val="master-page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Masterpage3LTHintergrundobjekte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en-US" w:eastAsia="en-US" w:bidi="ar-SA"/>
    </w:rPr>
  </w:style>
  <w:style w:type="paragraph" w:styleId="Masterpage3LTHintergrund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en-US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erif"/>
      <w:color w:val="auto"/>
      <w:kern w:val="2"/>
      <w:sz w:val="36"/>
      <w:szCs w:val="24"/>
      <w:lang w:val="en-US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Podnadpis">
    <w:name w:val="Podnadpis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Objektypozad">
    <w:name w:val="Objekty 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en-US" w:eastAsia="en-US" w:bidi="ar-SA"/>
    </w:rPr>
  </w:style>
  <w:style w:type="paragraph" w:styleId="Pozad">
    <w:name w:val="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en-US" w:eastAsia="en-US" w:bidi="ar-SA"/>
    </w:rPr>
  </w:style>
  <w:style w:type="paragraph" w:styleId="Poznmky">
    <w:name w:val="Poznámky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Osnova1">
    <w:name w:val="Osnova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Osnova2">
    <w:name w:val="Osnova 2"/>
    <w:basedOn w:val="Osnova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snova3">
    <w:name w:val="Osnova 3"/>
    <w:basedOn w:val="Osnova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snova4">
    <w:name w:val="Osnova 4"/>
    <w:basedOn w:val="Osnova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snova5">
    <w:name w:val="Osnova 5"/>
    <w:basedOn w:val="Osnova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snova6">
    <w:name w:val="Osnova 6"/>
    <w:basedOn w:val="Osnova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snova7">
    <w:name w:val="Osnova 7"/>
    <w:basedOn w:val="Osnova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snova8">
    <w:name w:val="Osnova 8"/>
    <w:basedOn w:val="Osnova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snova9">
    <w:name w:val="Osnova 9"/>
    <w:basedOn w:val="Osnova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LibreOffice/7.3.7.2$Windows_X86_64 LibreOffice_project/e114eadc50a9ff8d8c8a0567d6da8f454beeb84f</Application>
  <AppVersion>15.0000</AppVersion>
  <Pages>2</Pages>
  <Words>358</Words>
  <Characters>2002</Characters>
  <CharactersWithSpaces>2305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solanska</dc:creator>
  <dc:description/>
  <dc:language>cs-CZ</dc:language>
  <cp:lastModifiedBy/>
  <dcterms:modified xsi:type="dcterms:W3CDTF">2022-11-29T11:53:27Z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2022-11-14T00:00:00Z</vt:filetime>
  </property>
</Properties>
</file>